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326</w:t>
      </w:r>
    </w:p>
    <w:p>
      <w:r>
        <w:t>Bundesgericht (BGE), 1996-06-07, DE</w:t>
      </w:r>
    </w:p>
    <w:p>
      <w:r>
        <w:rPr>
          <w:b/>
        </w:rPr>
        <w:t xml:space="preserve">Quelle: </w:t>
      </w:r>
      <w:r>
        <w:t>https://mcp.opencaselaw.ch/entscheid/bge_122 II 326</w:t>
      </w:r>
    </w:p>
    <w:p>
      <w:r>
        <w:t>FR: ATF 122 II 326</w:t>
      </w:r>
    </w:p>
    <w:p>
      <w:r>
        <w:t>IT: DTF 122 II 326</w:t>
      </w:r>
    </w:p>
    <w:p>
      <w:pPr>
        <w:pStyle w:val="Heading2"/>
      </w:pPr>
      <w:r>
        <w:t>Regeste</w:t>
      </w:r>
    </w:p>
    <w:p>
      <w:r>
        <w:t>Regeste Art. 5 Abs. 2 RPG. Materielle Enteignung; Zuweisung von überbautem Land aus der Industriezone in eine kommunale Freihaltezone (Nichteinzonung). Grundsätze zur materiellen Enteignung (E. 4). Ob eine vor Inkrafttreten des Raumplanungsgesetzes erlassene Ortsplanung den Anforderungen des RPG genügt, beurteilt sich nicht parzellen- oder quartierweise (E. 5a und b). Nutzungsbeschränkungen, die sich im Zuge des Wechsels von einer Bau- und Zonenordnung aus der Zeit vor Inkrafttreten des RPG zu einer auf diesem Gesetz beruhenden Ordnung einstellen, gelten entschädigungsrechtlich nicht als Auszonungen (E. 5c). Entschädigungspflichtige Nichteinzonung von Industrie- bzw. Gewerbeareal, welches im weitgehend überbauten Gebiet liegt (Art. 15 lit. a RPG; E. 6a-c/aa). Allgemeiner Rahmen für die Festsetzung einer Entschädigung aus materieller Enteignung (E. 6c/bb und d).</w:t>
      </w:r>
    </w:p>
    <w:p>
      <w:pPr>
        <w:pStyle w:val="Heading2"/>
      </w:pPr>
      <w:r>
        <w:t>Erwägungen</w:t>
      </w:r>
    </w:p>
    <w:p>
      <w:r>
        <w:rPr>
          <w:b/>
        </w:rPr>
        <w:t>E. 4</w:t>
      </w:r>
    </w:p>
    <w:p>
      <w:r>
        <w:t>a) Ob Planungen zu Eigentumsbeschränkungen führen, die einer Enteignung gleichkommen, ist nach der Rechtsprechung des Bundesgerichts (zuletzt BGE 121 II 417 sowie zum folgenden ausführlich BGE 119 Ib 124 E. 2) im Lichte der verfassungsrechtlichen Ordnung des Bodenrechts gemäss Vorlage vom 15. August 1967 (BBl 1967 II 133ff.),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des Bundesgesetzes über die Raumplanung vom 22. Juni 1979 [Raumplanungsgesetz, RPG; SR 700] ) durch Nutzungspläne (BBl 1967 II 139f., 141; WALTER HALLER/PETER KARLEN, Raumplanungs- und Baurecht, 2. Aufl., Zürich 1992, S. 20 f., 35 ff.; LEO SCHÜRMANN/PETER HÄNNI, Planungs-, Bau- und besonderes Umweltschutzrecht; 3. Aufl., Bern 1995, S. 49 ff.; MARTIN LENDI/HANS ELSASSER, Raumplanung in der Schweiz, 3. Aufl., Zürich 1991, S. 95, 188, 210, 226 f.). Die Nutzungspläne haben vorab Bau-, Landwirtschafts- und Schutzzonen zu unterscheiden ( Art. 14 RPG ). Diese Anordnung des Raumplanungsgesetzes BGE 122 II 326 S. 329 knüpft an die vom Bundesgesetz über den Schutz der Gewässer gegen Verunreinigung vom 8. Oktober 1971 (AS 1972 I 950ff.; ersetzt seit 1. November 1992 durch das Bundesgesetz über den Schutz der Gewässer vom 24. Januar 1991 [Gewässerschutzgesetz, GSchG; SR 814.20]) und vom Bundesbeschluss vom 17. März 1972 über dringliche Massnahmen auf dem Gebiete der Raumplanung (BMR; AS 1972 I 644 ff.) geschaffene Ordnung an ( BGE 105 Ia 336 E. 3c und d). Das für die Überbauung bestimmte Land ist in Beachtung der Grundsatzbestimmung von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Die Festsetzung dieser Zonen in Erfüllung des Raumplanungsauftrages ( Art. 22quater BV ), welcher namentlich die Trennung des Baugebietes vom Nichtbaugebiet verlangt (vgl. Art. 24 RPG ; BBl 1967 II 139f.), ist Ausgestaltung der verfassungsrechtlichen Eigentumsordnung und damit Konkretisierung der verfassungsrechtlich garantierten Eigentumsrechte ( Art. 22ter BV ), wie dies das Bundesgericht bereits in BGE 105 Ia 336 E. 3c erkannte (GEORG MÜLLER, Privateigentum heute, ZSR 100/1981 II S. 65, 87 ff.; RICCARDO JAGMETTI in Kommentar BV, Art. 22quater, Rz. 86). Die Zuweisung von Land in eine Nichtbauzone bei der erstmaligen Schaffung einer raumplanerischen Grundordnung, welche den verfassungsrechtlichen und gesetzlichen Anforderungen entspricht, ist deshalb als Anwendungsfall der in der Regel entschädigungslos zulässigen Inhaltsbestimmung des Grundeigentums zu betrachten ( BGE 118 Ib 40 E. 2a; Urteil des Bundesgerichtes vom 2. Oktober 1991, publiziert in ZBl. 93/1992 S. 374 f.; ENRICO RIVA, Hauptfragen der materiellen Enteignung, Bern, 1990, S. 178). b) Vom Entzug einer wesentlichen aus dem Eigentum fliessenden Befugnis im Sinne des Tatbestandes der materiellen Enteignung kann in Beachtung der verfassungsrechtlichen Ordnung des Bodenrechts (vorstehende E. 4a; vgl. GEORG MÜLLER in Kommentar BV, Art. 22ter, Rz. 51; THOMAS PFISTERER, Entschädigungspflichtige raumplanerische Massnahmen, BVR 1990 S. 29 ff.) zum vornherein nur gesprochen werden, wenn im Zeitpunkt der Rechtskraft der Planungsmassnahme, die einer Enteignung gleichkommen soll, eine raumplanerische Grundordnung galt, welche die Berechtigung zum Bauen auf dem fraglichen Grundstück einschloss. Dies trifft zu, wenn die Gemeinde über einen Nutzungsplan verfügt, der unter anderem die Bauzonen in BGE 122 II 326 S. 330 zweckmässiger Weise rechtsverbindlich von den Nichtbauzonen trennt. Bauzonen umfassen Land, das sich für die Überbauung eignet und weitgehend überbaut ist oder voraussichtlich innert 15 Jahren benötigt und erschlossen wird ( Art. 15 und 19 RPG ; Art. 5 des Wohnbau- und Eigentumsförderungsgesetzes vom 4. Oktober 1974 [WEG; SR 843]; BGE 118 Ib 42 E. 2c; Urteil des Bundesgerichtes vom 2. Oktober 1991, ZBl. 93/1992 S. 375). c) Wird bei der erstmaligen Schaffung einer raumplanerischen Grundordnung, welche den verfassungsrechtlichen und gesetzlichen Anforderungen entspricht, eine Liegenschaft keiner Bauzone zugewiesen, so liegt gemäss der von der Rechtsprechung des Bundesgerichts zur Klarstellung der Rechtslage befolgten Terminologie in Anwendung der Raumplanungsgesetzgebung eine Nichteinzonung vor, und zwar auch dann, wenn die in Frage stehenden Flächen nach dem früheren, der Revision des Bodenrechts nicht entsprechenden Recht überbaut werden konnten ( BGE 119 Ib 124 E. 2c). Von einer Auszonung spricht man dagegen, wenn eine Parzelle, die entsprechend den Grundsätzen des revidierten Bodenrechts bereits förmlich der Bauzone zugewiesen worden war, planungsrechtlich mit einem Bauverbot belegt wird (vgl. BGE 121 II 417 E. 3e). Eine teilweise Beschränkung solcher Überbauungsmöglichkeiten wird als Herabzonung bezeichnet.</w:t>
      </w:r>
    </w:p>
    <w:p>
      <w:r>
        <w:rPr>
          <w:b/>
        </w:rPr>
        <w:t>E. 5</w:t>
      </w:r>
    </w:p>
    <w:p>
      <w:r>
        <w:t>a) Anders als die Vorinstanz sind die Beschwerdeführer der Meinung, es liege hier ein geradezu klassischer Auszonungsfall vor, weil die BauO jedenfalls hinsichtlich der Industriezone auch im Beurteilungszeitpunkt als bundesrechtskonforme Ordnung hätte gelten müssen. Die beiden Parzellen würden seit langem baulich genutzt und gehörten zum weitgehend überbauten Gebiet; ferner seien sie auch für Neubauten in der Industriezone (zum Beispiel Lagerhäuser) zumindest grob erschlossen. Ein Baugesuch zur Neu- oder zusätzlichen Überbauung der Grundstücke hätte vor dem massgeblichen Stichtag bewilligt werden müssen. Wo nach dem üblichen Lauf der Dinge die Realisierung von Überbauungsmöglichkeiten vor dem massgeblichen Stichtag habe erwartet werden dürfen, laufe die Einweisung von Grundstücken in die Freihaltezone auf eine Auszonung hinaus. b) Einer solchen sektoriellen Betrachtungsweise kann - wie das Bundesgericht jüngst entschieden hat ( BGE 121 II 417 E. 3c-e) - nicht gefolgt werden. Ob eine altrechtliche, vor Inkrafttreten des RPG erlassene Ortsplanung bereits den Anforderungen des RPG genügte, beurteilt sich nicht parzellen- oder quartierweise. Die Nutzungsplanung einer Gemeinde muss als BGE 122 II 326 S. 331 Ganzes den Anforderungen des RPG genügen. Die Zweckmässigkeit einer Zonenplanänderung für einen Teil des Gemeindegebiets kann nicht ohne Berücksichtigung des planerischen Gesamtkonzepts für die ganze Gemeinde und nicht ohne Überprüfung des planerischen Schicksals vergleichbarer Gebiete beurteilt werden (vgl. Urteil des Bundesgerichts vom 4. Juni 1993 in ZBl. 95/1994 S. 140, E. 7b). aa) Die Nutzungsordnung der Stadt Dietikon aus dem Jahre 1969 entsprach als Ganzes nicht den Anforderungen des Raumplanungsgesetzes. So wies sie keine strikte Trennung von Bau- und Nichtbaugebiet auf, da aus ihrer Optik unter gewissen Voraussetzungen auch Bauten im "Übrigen Gemeindegebiet" möglich waren, wie die Vorinstanz insoweit zu Recht festgehalten hat. Deshalb handelt es sich bei der Bau- und Zonenordnung von 1987/88 um die erste raumplanerische Grundordnung im Sinne von Art. 22quater BV und des RPG, auch wenn sich damit für einzelne Grundstücke oder einzelne Gebiete nichts geändert hat. Dass das Verwaltungsgericht bei dieser Sachlage die Belegung der beiden hier interessierenden Parzellen mit einem weitgehenden Bauverbot nicht als Auszonung, sondern nach den für eine Nichteinzonung geltenden Grundsätzen behandelt hat, ist deshalb nicht zu beanstanden (vgl. auch BGE 117 Ib 4 E. 3c mit Hinweisen). bb) Den Beschwerdeführern kann auch darin nicht gefolgt werden, dass von einer Auszonung zu sprechen sei, weil sich das betroffene Land im massgebenden Zeitpunkt im weitgehend überbauten Gebiet befunden und zu einer vorläufigen Bauzone im Sinne von Art. 36 Abs. 3 RPG gehört haben soll. Zum einen mag hier noch offenbleiben, ob die beiden Parzellen zum weitgehend überbauten Gebiet zählen (vgl. aber E. 6c/aa hienach). Zum andern ergibt sich aus der jüngst bestätigten Rechtsprechung ( BGE 121 II 417 E. 3e), dass seit dem Inkrafttreten des Raumplanungsgesetzes nur noch das nach den Grundsätzen ebendieses Gesetzes rechtskräftig in Bauzonen eingezonte Land als (definitives) Bauland zu betrachten ist ( BGE 116 Ib 379 E. 5b). Provisorische Baugebiete können, selbst wenn sie materiell den Anforderungen des RPG entsprechen, nicht als Bauzonen im Sinne des Bundesrechts gelten, weil sie nicht in einem den demokratischen Anforderungen genügenden Verfahren ( Art. 4 Abs. 2 RPG ) und von dem für die Nutzungsplanung zuständigen Planungsträger beschlossen worden sind (vgl. BGE BGE 116 Ib 379 E. 5b in fine; BGE 114 Ib 305 E. 5c/ff). Auch wenn sich Land im weitgehend überbauten Gebiet im Sinne von Art. 36 Abs. 3 RPG und damit in BGE 122 II 326 S. 332 einer vorläufigen Bauzone befindet, bedeutet dies noch nicht, dass es zwingend einer definitiven Bauzone zugeschlagen werden müsste. Besondere Gründe, wie etwa eine spezielle Lage, die Topographie, die Beschaffenheit des Bodens oder die Schutzwürdigkeit des Orts- oder Landschaftsbildes sowie andere öffentliche Interessen ( Art. 1, 3, 15 ff. RPG ) können es als geboten erscheinen lassen oder es zumindest rechtfertigen, dass bei der definitiven, demokratisch abgestützten Nutzungsplanung von der Zuweisung zu einer Zone für private Bauten abgesehen wird. c) Demnach erweist sich die Beschwerde in diesem Punkt als unbegründet, und es ist über den vorliegenden Fall hinaus verdeutlichend festzuhalten: Nutzungsbeschränkungen, die sich im Zuge des Wechsels von einer Bau- und Zonenordnung aus der Zeit vor dem Inkrafttreten des RPG zu einer auf diesem Gesetz beruhenden Ordnung einstellen, gelten entschädigungsrechtlich nicht als Auszonungen. Vielmehr ist in solchen Fällen die Entschädigungsfrage nach den für eine Nichteinzonung geltenden Grundsätzen zu beurteilen, weil erstmals im bundesrechtlich vorgesehenen Verfahren von dem für die Nutzungsplanung zuständigen Organ nach den Grundsätzen des RPG über die Zuweisung des Grundstücks zu einer Bauzone entschieden wurde (anderer Meinung Karl Spühler, Aktuelle Rechtsfragen zum zürcherischen Bau- und Planungsrecht, ZBl. 94/1993 S. 110). Wollte man es anders halten, so hiesse das, den Planungsbehörden die erstmalige Umsetzung der verfassungsrechtlichen und raumplanungsgesetzlichen Grundsätze zu verunmöglichen oder über Gebühr zu erschweren. Denn es bestünde allemal die Gefahr, dass sich die Planungsbehörden gegebenenfalls von Entschädigungs- statt von Raumordnungsgesichtspunkten leiten liessen. Werden hingegen in diesem Planungsstadium Beschränkungen bisheriger ("vor-raumplanungsrechtlicher") Nutzungsmöglichkeiten durchwegs als Nichteinzonungsfälle betrachtet, so öffnet dies den Weg, um auch entschädigungsrechtlich sachgerecht differenzierende Lösungen zu finden (vgl. E. 6c und d hienach). Und um der Klarheit willen muss beigefügt werden, dass gleich vorzugehen ist, wenn eine Bau- und Zonenordnung zwar in zeitlicher Hinsicht unter der Herrschaft des RPG in Kraft getreten ist, ohne aber materiell auf die bundesrechtlichen Planungsgrundsätze ausgerichtet zu sein.</w:t>
      </w:r>
    </w:p>
    <w:p>
      <w:r>
        <w:rPr>
          <w:b/>
        </w:rPr>
        <w:t>E. 6</w:t>
      </w:r>
    </w:p>
    <w:p>
      <w:r>
        <w:t>a) Erste Voraussetzung zur Überbauung einer Parzelle und damit zu deren Baulandqualität bildet die Zugehörigkeit zu einer Bauzone, welche den sich aus der Neuordnung des Bodenrechts ergebenden Anforderungen entspricht. Der BGE 122 II 326 S. 333 Eigentümer besitzt grundsätzlich keinen Rechtsanspruch auf Einweisung seines Landes in eine Bauzone, auch nicht, wenn er erschlossenes oder erschliessbares Land besitzt. Dies ergibt sich aus dem Vorrang der rechtlichen Gegebenheiten, auf die in erster Linie abzustellen ist. Die Nichteinzonung in eine Bauzone bei der erstmaligen Schaffung einer raumplanerischen Grundordnung, welche den verfassungsrechtlichen und gesetzlichen Anforderungen entspricht, löst grundsätzlich keine Entschädigungspflicht aus. Sie trifft nur ausnahmsweise den Eigentümer enteignungsähnlich, etwa dann, wenn er überbaubares oder grob erschlossenes Land besitzt, das von einem gewässerschutzrechtskonformen generellen Kanalisationsprojekt (GKP) erfasst wird, und wenn er für die Erschliessung und Überbauung seines Landes bereits erhebliche Kosten aufgewendet hat (so schon BGE 105 Ia 338 E. 3d), wobei diese Voraussetzungen in der Regel kumulativ erfüllt sein müssen. Unabhängig davon können weitere besondere Gesichtspunkte des Vertrauensschutzes so gewichtig sein, dass ein Grundstück hätte eingezont werden müssen. Ein Einzonungsgebot kann ferner zu bejahen sein, wenn sich das fragliche Grundstück im weitgehend überbauten Gebiet ( Art. 15 lit. a RPG ) befindet. Erscheint nach den Umständen eine Einzonung als geboten, so durfte der Eigentümer am massgebenden Stichtag mit hoher Wahrscheinlichkeit mit einer aus eigener Kraft realisierbaren Überbauung seines Landes rechnen. Trifft dies zu, muss von einer enteignungsgleichen Wirkung der Nichteinzonung gesprochen werden ( BGE 121 II 417 E. 4b). b) Das Verwaltungsgericht geht im angefochtenen Entscheid davon aus, die vorhandene Erschliessung der beiden im GKP gelegenen Parzellen sei in erster Linie mit Bezug auf die Zufahrt und die Wasserversorgung für eine Nutzung als Industrieland ungenügend. Insbesondere hätte für die Strassenerschliessung ein Quartierplan erstellt werden müssen, um so mehr, als eine isolierte Betrachtung der beiden Eckparzellen ohne das übrige Land bis mindestens hin zur Schönenwerdbrücke keinen Sinn mache. Damit hätten es die Beschwerdeführer aber nicht in der Hand gehabt, in eigenen Rechten ihre Parzellen nach den Vorschriften der Industriezone neu zu überbauen. Es erscheint aufgrund der bei den Akten liegenden Pläne ohne weiteres als zutreffend, dass das bestehende, 4 Meter breite, trottoirlose, geteerte Strassenstück zwischen der Schönenwerdbrücke und der Grenze der beiden hier BGE 122 II 326 S. 334 interessierenden Parzellen für deren Nutzung als Industrieland ungenügend gewesen wäre. Gerade auch die von den Beschwerdeführern angesprochene Nutzung ihrer gesamthaft knapp 8000 m2 messenden Grundstücke für Lagerhausbauten würde einen entsprechenden Lastwagenverkehr auslösen; ein Ausbau der Strasse wäre unumgänglich gewesen. Wegen der bestehenden Eigentumsverhältnisse im auszubauenden Bereich wären die Beschwerdeführer insoweit nicht um eine Quartierplanung herumgekommen. Mit Grund hat das Verwaltungsgericht daher angenommen, die Beschwerdeführer hätten am Stichtag ihre Grundstücke nicht in eigenen Rechten für eine Industrienutzung strassenmässig erschliessen können. Dieser Umstand allein genügt, um ein Einzonungsgebot in die Industriezone zu verneinen und insoweit eine materielle Enteignung auszuschliessen. c) Freilich heisst dies nicht, dass auch unter keinem anderen Gesichtspunkt ein Einzonungsanspruch im oben dargelegten Sinn (E. 6a) bestanden hat. aa) Die beiden Parzellen sind seit Jahrzehnten durch Wohn/Gewerbebauten (extensiv) genutzt. Bis zum Ausbau des unmittelbar angrenzenden Bahntrassees auf vier Spuren waren sie durch einen Bahnübergang mit dem südlich der Bahn und der Zürcherstrasse gelegenen und ebenfalls seit langem überbauten Gebiet direkt verbunden; es bestand insoweit ein Siedlungszusammenhang. Seit der Aufhebung des Bahnübergangs stellt die unter anderem gerade auch zu diesem Zweck errichtete Schönenwerd-Strassenbrücke die Verbindung mit den überbauten Gebieten südlich von Bahn und Strasse sicher. Die Parzellen gehören unbestrittenermassen zum GKP und hängen in bezug auf die Wasser- und Stromversorgung an den gleichen (Basis-)Leitungssystemen wie das überbaute Gebiet südlich von Bahn und Strasse. Bei dieser Sachlage und der gebotenen gebietsbezogenen Betrachtungsweise muss entgegen der Auffassung des Verwaltungsgerichts die Zugehörigkeit der beiden Parzellen zum weitgehend überbauten Gebiet im Sinn von Art. 15 lit. a RPG bejaht werden. Es ist in diesem Punkt eine gewisse Ähnlichkeit mit dem in BGE 115 Ia 333 beurteilten Fall der "Giessen-Halbinsel" (Gemeinde Wädenswil) zu erkennen. An dieser Sichtweise tut kein Abbruch, dass das übrige Terrain zwischen Limmat und Bahn östlich der beiden Parzellen Nrn. 6156 und 9265 im Licht von Art. 15 lit. a RPG anders qualifiziert werden müsste, wiewohl es in der gleichen, durch den Fluss und die Verkehrsträger Bahn/Strasse begrenzten Geländekammer liegt. Dieses Terrain ist - abgesehen von zwei Wasserpumpwerken - unüberbaut und in weit überwiegendem Ausmass mit einer BGE 122 II 326 S. 335 Gewässerschutzzone belegt; sodann stockt darauf teilweise Wald. Dieses Land lässt sich daher nicht mit den seit Jahrzehnten wohn- und gewerbebaulich genutzten Parzellen der Beschwerdeführer vergleichen. Nur bei diesen stellte sich am hier massgebenden Stichtag das Problem, der bestehenden Baunutzung und dem Umstand, dass die Grundstücke zum weitgehend überbauten Gebiet im Sinne von Art. 15 lit. a RPG zählen, zonenplanerisch gerecht zu werden. bb) Wird hier aufgrund der vorstehenden Ausführungen (E. 6c/aa) ein grundsätzliches Einzonungsgebot bejaht, so fragt sich im Rahmen des Verfahrens um Entschädigung wegen materieller Enteignung, mit welcher Zonierung die Eigentümer am Stichtag hätten rechnen dürfen. Der Enteignungsrichter hat aus der Retrospektive darauf eine Antwort zu geben. Ohne eine solche (hypothetische) planungsrechtliche Festlegung kann nicht sachgerecht geprüft werden, ob eine Enteignungsentschädigung geschuldet sei und wie hoch sie gegebenenfalls ausfalle. Diese Entschädigung bemisst sich nach der Wertdifferenz der Nutzungsmöglichkeiten zwischen der hypothetischen Zonierung und der eingriffsauslösenden tatsächlichen Zonenzuordnung am Stichtag. Dabei ist zu berücksichtigen, dass in aller Regel der Einbezug eines unüberbauten Grundstücks in eine Bauzone dessen Wert erhöht. Das gilt auch dann, wenn ein baulich extensiv genutztes Grundstück aus einer Nichtbauzone förmlich eingezont wird und damit neue bauliche Nutzungsmöglichkeiten einhergehen. Vermutungsweise nicht wertsteigernd wirkt sich die Zuweisung überbauten Landes in eine Nichtbauzone aus. d) Im vorliegenden Fall bewirkt die Zuordnung zur Freihaltezone FB ein weitgehendes Bauverbot. Für private Bauten ausserhalb des Zonenzwecks gilt Art. 24 RPG (vgl. Art. 1 Ziff. 2 BZO in Verbindung mit §§ 62 und 40 des Gesetzes über die Raumplanung und das öffentliche Baurecht vom 7. September 1975 [Planungs- und Baugesetz, PBG]). Inwieweit für die bestehenden Bauten gestützt auf Art. 24 Abs. 2 RPG in Verbindung mit § 357 PBG angesichts von § 40 Abs. 2 PBG unter den vorliegenden Umständen der Bestandesschutz greift, muss abgeklärt werden; erst dann lässt sich der eine Eckwert für die Bemessung der Enteignungsentschädigung (Verkehrswert der Grundstücke am Stichtag) zuverlässig bestimmen. Der andere Eckwert hängt wie gesagt von der hypothetischen Zonenzuordnung der beiden Grundstücke ab. Man wird sich dabei nicht nur an den allgemeinen Planungsgrundsätzen ( Art. 1 und 3 RPG ), sondern hier speziell auch an der bisherigen wohn- und gewerbebaulichen BGE 122 II 326 S. 336 Nutzung, an den Bauten jenseits des Bahntrassees und an den bestehenden Erschliessungsverhältnissen zu orientieren haben. Am ehesten fällt wohl eine WG-3-Zone in Betracht, wobei auch denkbar erscheint, mittels eines kommunalen Gestaltungsplans im Hinblick auf die spezielle Formung und Lage der Grundstücke deren hypothetische Nutzungsmöglichkeiten sachgerecht zu modifizieren. e) Das Verwaltungsgericht hat sich aus seiner Sicht (Verneinung der materiellen Enteignung) nicht zur Entschädigungshöhe aussprechen müssen. Es ist nicht Sache des Bundesgerichts, vor der letzten kantonalen Instanz über das Quantitativ der Entschädigung zu befinden. Dies um so weniger, als die Vorinstanz hier auch planerische Annahmen zu treffen hat und ihr insoweit ein gewisser Ermessensspielraum zusteht. Die Angelegenheit ist daher in Gutheissung der Beschwerde und unter Aufhebung des angefochtenen Urteils an die Vorinstanz zurückzuweisen, damit diese im Sinne der vorstehenden Erwägungen neu entscheide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